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16</w:t>
      </w:r>
    </w:p>
    <w:p>
      <w:pPr>
        <w:pStyle w:val="BodyText"/>
        <w:spacing w:before="2"/>
        <w:rPr>
          <w:b/>
          <w:sz w:val="16"/>
        </w:rPr>
      </w:pPr>
    </w:p>
    <w:p>
      <w:pPr>
        <w:pStyle w:val="BodyText"/>
        <w:spacing w:before="90"/>
        <w:ind w:left="120"/>
      </w:pPr>
      <w:r>
        <w:rPr/>
        <w:t>Introduced by the County Services and Finance Committees of the:</w:t>
      </w:r>
    </w:p>
    <w:p>
      <w:pPr>
        <w:pStyle w:val="BodyText"/>
      </w:pPr>
    </w:p>
    <w:p>
      <w:pPr>
        <w:pStyle w:val="BodyText"/>
        <w:ind w:left="2825" w:right="2826"/>
        <w:jc w:val="center"/>
      </w:pPr>
      <w:r>
        <w:rPr/>
        <w:t>INGHAM COUNTY BOARD OF COMMISSIONERS</w:t>
      </w:r>
    </w:p>
    <w:p>
      <w:pPr>
        <w:pStyle w:val="BodyText"/>
      </w:pPr>
    </w:p>
    <w:p>
      <w:pPr>
        <w:pStyle w:val="Heading1"/>
        <w:ind w:right="330" w:firstLine="4"/>
      </w:pPr>
      <w:r>
        <w:rPr/>
        <w:t>RESOLUTION TO AUTHORIZE A SECOND-PARTY AGREEMENT WITH THE MICHIGAN DEPARTMENT OF TRANSPORTATION FOR A FEDERAL FUNDED PROJECT ON COLLEGE ROAD FROM JOLLY ROAD TO FOREST ROAD, FOREST ROAD FROM COLLEGE ROAD TO FARM LANE, AND FARM LANE FROM FOREST ROAD TO MT. HOPE ROAD</w:t>
      </w:r>
    </w:p>
    <w:p>
      <w:pPr>
        <w:pStyle w:val="BodyText"/>
        <w:rPr>
          <w:b/>
        </w:rPr>
      </w:pPr>
    </w:p>
    <w:p>
      <w:pPr>
        <w:spacing w:before="0"/>
        <w:ind w:left="2825" w:right="2825" w:firstLine="0"/>
        <w:jc w:val="center"/>
        <w:rPr>
          <w:b/>
          <w:sz w:val="24"/>
        </w:rPr>
      </w:pPr>
      <w:r>
        <w:rPr>
          <w:b/>
          <w:sz w:val="24"/>
        </w:rPr>
        <w:t>RESOLUTION #26 – 480</w:t>
      </w:r>
    </w:p>
    <w:p>
      <w:pPr>
        <w:pStyle w:val="BodyText"/>
        <w:rPr>
          <w:b/>
          <w:sz w:val="26"/>
        </w:rPr>
      </w:pPr>
    </w:p>
    <w:p>
      <w:pPr>
        <w:pStyle w:val="BodyText"/>
        <w:rPr>
          <w:b/>
          <w:sz w:val="22"/>
        </w:rPr>
      </w:pPr>
    </w:p>
    <w:p>
      <w:pPr>
        <w:pStyle w:val="BodyText"/>
        <w:ind w:left="119" w:right="496"/>
      </w:pPr>
      <w:r>
        <w:rPr/>
        <w:t>WHEREAS, the Ingham County Road Department received federal Surface Transportation Program (STP) funds and State Transportation Economic Development Fund (TEDF) funds for the rehabilitation of College Road from Jolly Road to Forest Road, Forest Road from College Road to Farm Lane, and Farm Lane from Forest Road to Mt Hope Road; and</w:t>
      </w:r>
    </w:p>
    <w:p>
      <w:pPr>
        <w:pStyle w:val="BodyText"/>
      </w:pPr>
    </w:p>
    <w:p>
      <w:pPr>
        <w:pStyle w:val="BodyText"/>
        <w:ind w:left="119" w:right="256"/>
      </w:pPr>
      <w:r>
        <w:rPr/>
        <w:t>WHEREAS, the STP funding pays 80% of the eligible construction costs, with a 20% funding match being the responsibility of the Road Department; and</w:t>
      </w:r>
    </w:p>
    <w:p>
      <w:pPr>
        <w:pStyle w:val="BodyText"/>
      </w:pPr>
    </w:p>
    <w:p>
      <w:pPr>
        <w:pStyle w:val="BodyText"/>
        <w:ind w:left="119" w:right="703"/>
      </w:pPr>
      <w:r>
        <w:rPr/>
        <w:t>WHEREAS, the Michigan Department of Transportation (MDOT) Contract #26-5406 states the estimated construction funding responsibilities for the project are as follows:</w:t>
      </w:r>
    </w:p>
    <w:p>
      <w:pPr>
        <w:pStyle w:val="BodyText"/>
        <w:spacing w:before="10" w:after="1"/>
      </w:pPr>
    </w:p>
    <w:tbl>
      <w:tblPr>
        <w:tblW w:w="0" w:type="auto"/>
        <w:jc w:val="left"/>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587"/>
        <w:gridCol w:w="2666"/>
      </w:tblGrid>
      <w:tr>
        <w:trPr>
          <w:trHeight w:val="408" w:hRule="atLeast"/>
        </w:trPr>
        <w:tc>
          <w:tcPr>
            <w:tcW w:w="5587" w:type="dxa"/>
          </w:tcPr>
          <w:p>
            <w:pPr>
              <w:pStyle w:val="TableParagraph"/>
              <w:spacing w:line="266" w:lineRule="exact"/>
              <w:rPr>
                <w:sz w:val="24"/>
              </w:rPr>
            </w:pPr>
            <w:r>
              <w:rPr>
                <w:sz w:val="24"/>
                <w:u w:val="single"/>
              </w:rPr>
              <w:t>Estimated Costs</w:t>
            </w:r>
          </w:p>
        </w:tc>
        <w:tc>
          <w:tcPr>
            <w:tcW w:w="2666" w:type="dxa"/>
          </w:tcPr>
          <w:p>
            <w:pPr>
              <w:pStyle w:val="TableParagraph"/>
              <w:spacing w:line="240" w:lineRule="auto"/>
              <w:ind w:left="0"/>
              <w:rPr>
                <w:sz w:val="24"/>
              </w:rPr>
            </w:pPr>
          </w:p>
        </w:tc>
      </w:tr>
      <w:tr>
        <w:trPr>
          <w:trHeight w:val="552" w:hRule="atLeast"/>
        </w:trPr>
        <w:tc>
          <w:tcPr>
            <w:tcW w:w="5587" w:type="dxa"/>
          </w:tcPr>
          <w:p>
            <w:pPr>
              <w:pStyle w:val="TableParagraph"/>
              <w:spacing w:line="240" w:lineRule="auto" w:before="133"/>
              <w:rPr>
                <w:sz w:val="24"/>
              </w:rPr>
            </w:pPr>
            <w:r>
              <w:rPr>
                <w:sz w:val="24"/>
              </w:rPr>
              <w:t>Total Estimated Project Cost:</w:t>
            </w:r>
          </w:p>
        </w:tc>
        <w:tc>
          <w:tcPr>
            <w:tcW w:w="2666" w:type="dxa"/>
          </w:tcPr>
          <w:p>
            <w:pPr>
              <w:pStyle w:val="TableParagraph"/>
              <w:spacing w:line="240" w:lineRule="auto" w:before="133"/>
              <w:ind w:left="942"/>
              <w:rPr>
                <w:sz w:val="24"/>
              </w:rPr>
            </w:pPr>
            <w:r>
              <w:rPr>
                <w:sz w:val="24"/>
              </w:rPr>
              <w:t>$1,999,383.40</w:t>
            </w:r>
          </w:p>
        </w:tc>
      </w:tr>
      <w:tr>
        <w:trPr>
          <w:trHeight w:val="552" w:hRule="atLeast"/>
        </w:trPr>
        <w:tc>
          <w:tcPr>
            <w:tcW w:w="5587" w:type="dxa"/>
          </w:tcPr>
          <w:p>
            <w:pPr>
              <w:pStyle w:val="TableParagraph"/>
              <w:spacing w:line="240" w:lineRule="auto" w:before="133"/>
              <w:rPr>
                <w:sz w:val="24"/>
              </w:rPr>
            </w:pPr>
            <w:r>
              <w:rPr>
                <w:sz w:val="24"/>
                <w:u w:val="single"/>
              </w:rPr>
              <w:t>Estimated Cost Participation</w:t>
            </w:r>
          </w:p>
        </w:tc>
        <w:tc>
          <w:tcPr>
            <w:tcW w:w="2666" w:type="dxa"/>
          </w:tcPr>
          <w:p>
            <w:pPr>
              <w:pStyle w:val="TableParagraph"/>
              <w:spacing w:line="240" w:lineRule="auto"/>
              <w:ind w:left="0"/>
              <w:rPr>
                <w:sz w:val="24"/>
              </w:rPr>
            </w:pPr>
          </w:p>
        </w:tc>
      </w:tr>
      <w:tr>
        <w:trPr>
          <w:trHeight w:val="413" w:hRule="atLeast"/>
        </w:trPr>
        <w:tc>
          <w:tcPr>
            <w:tcW w:w="5587" w:type="dxa"/>
          </w:tcPr>
          <w:p>
            <w:pPr>
              <w:pStyle w:val="TableParagraph"/>
              <w:spacing w:line="261" w:lineRule="exact" w:before="133"/>
              <w:rPr>
                <w:sz w:val="24"/>
              </w:rPr>
            </w:pPr>
            <w:r>
              <w:rPr>
                <w:sz w:val="24"/>
              </w:rPr>
              <w:t>Federal STP Funds:</w:t>
            </w:r>
          </w:p>
        </w:tc>
        <w:tc>
          <w:tcPr>
            <w:tcW w:w="2666" w:type="dxa"/>
          </w:tcPr>
          <w:p>
            <w:pPr>
              <w:pStyle w:val="TableParagraph"/>
              <w:spacing w:line="261" w:lineRule="exact" w:before="133"/>
              <w:ind w:left="942"/>
              <w:rPr>
                <w:sz w:val="24"/>
              </w:rPr>
            </w:pPr>
            <w:r>
              <w:rPr>
                <w:sz w:val="24"/>
              </w:rPr>
              <w:t>$784,897.02</w:t>
            </w:r>
          </w:p>
        </w:tc>
      </w:tr>
      <w:tr>
        <w:trPr>
          <w:trHeight w:val="276" w:hRule="atLeast"/>
        </w:trPr>
        <w:tc>
          <w:tcPr>
            <w:tcW w:w="5587" w:type="dxa"/>
          </w:tcPr>
          <w:p>
            <w:pPr>
              <w:pStyle w:val="TableParagraph"/>
              <w:rPr>
                <w:sz w:val="24"/>
              </w:rPr>
            </w:pPr>
            <w:r>
              <w:rPr>
                <w:sz w:val="24"/>
              </w:rPr>
              <w:t>State TEDF Funds:</w:t>
            </w:r>
          </w:p>
        </w:tc>
        <w:tc>
          <w:tcPr>
            <w:tcW w:w="2666" w:type="dxa"/>
          </w:tcPr>
          <w:p>
            <w:pPr>
              <w:pStyle w:val="TableParagraph"/>
              <w:ind w:left="942"/>
              <w:rPr>
                <w:sz w:val="24"/>
              </w:rPr>
            </w:pPr>
            <w:r>
              <w:rPr>
                <w:sz w:val="24"/>
              </w:rPr>
              <w:t>$375,000.00</w:t>
            </w:r>
          </w:p>
        </w:tc>
      </w:tr>
      <w:tr>
        <w:trPr>
          <w:trHeight w:val="276" w:hRule="atLeast"/>
        </w:trPr>
        <w:tc>
          <w:tcPr>
            <w:tcW w:w="5587" w:type="dxa"/>
          </w:tcPr>
          <w:p>
            <w:pPr>
              <w:pStyle w:val="TableParagraph"/>
              <w:rPr>
                <w:sz w:val="24"/>
              </w:rPr>
            </w:pPr>
            <w:r>
              <w:rPr>
                <w:sz w:val="24"/>
              </w:rPr>
              <w:t>Michigan State University Contribution</w:t>
            </w:r>
          </w:p>
        </w:tc>
        <w:tc>
          <w:tcPr>
            <w:tcW w:w="2666" w:type="dxa"/>
          </w:tcPr>
          <w:p>
            <w:pPr>
              <w:pStyle w:val="TableParagraph"/>
              <w:ind w:left="942"/>
              <w:rPr>
                <w:sz w:val="24"/>
              </w:rPr>
            </w:pPr>
            <w:r>
              <w:rPr>
                <w:sz w:val="24"/>
              </w:rPr>
              <w:t>$236,870.63</w:t>
            </w:r>
          </w:p>
        </w:tc>
      </w:tr>
      <w:tr>
        <w:trPr>
          <w:trHeight w:val="270" w:hRule="atLeast"/>
        </w:trPr>
        <w:tc>
          <w:tcPr>
            <w:tcW w:w="5587" w:type="dxa"/>
          </w:tcPr>
          <w:p>
            <w:pPr>
              <w:pStyle w:val="TableParagraph"/>
              <w:spacing w:line="251" w:lineRule="exact"/>
              <w:rPr>
                <w:sz w:val="24"/>
              </w:rPr>
            </w:pPr>
            <w:r>
              <w:rPr>
                <w:sz w:val="24"/>
              </w:rPr>
              <w:t>Total Road Department Estimated Project Cost:</w:t>
            </w:r>
          </w:p>
        </w:tc>
        <w:tc>
          <w:tcPr>
            <w:tcW w:w="2666" w:type="dxa"/>
          </w:tcPr>
          <w:p>
            <w:pPr>
              <w:pStyle w:val="TableParagraph"/>
              <w:spacing w:line="251" w:lineRule="exact"/>
              <w:ind w:left="942"/>
              <w:rPr>
                <w:sz w:val="24"/>
              </w:rPr>
            </w:pPr>
            <w:r>
              <w:rPr>
                <w:sz w:val="24"/>
              </w:rPr>
              <w:t>$602,615.75; and</w:t>
            </w:r>
          </w:p>
        </w:tc>
      </w:tr>
    </w:tbl>
    <w:p>
      <w:pPr>
        <w:pStyle w:val="BodyText"/>
      </w:pPr>
    </w:p>
    <w:p>
      <w:pPr>
        <w:pStyle w:val="BodyText"/>
        <w:ind w:left="120" w:right="156"/>
      </w:pPr>
      <w:r>
        <w:rPr/>
        <w:t>WHEREAS, a contingency is requested in the amount of 20% of the total estimated project costs for the project to account for unexpected construction costs; and</w:t>
      </w:r>
    </w:p>
    <w:p>
      <w:pPr>
        <w:pStyle w:val="BodyText"/>
      </w:pPr>
    </w:p>
    <w:p>
      <w:pPr>
        <w:pStyle w:val="BodyText"/>
        <w:ind w:left="120" w:right="915"/>
      </w:pPr>
      <w:r>
        <w:rPr/>
        <w:t>WHEREAS, the estimated construction funding responsibilities for the project, with a 20% contingency included, are as follows:</w:t>
      </w:r>
    </w:p>
    <w:p>
      <w:pPr>
        <w:pStyle w:val="BodyText"/>
        <w:spacing w:before="10"/>
      </w:pPr>
    </w:p>
    <w:tbl>
      <w:tblPr>
        <w:tblW w:w="0" w:type="auto"/>
        <w:jc w:val="left"/>
        <w:tblInd w:w="7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632"/>
        <w:gridCol w:w="2328"/>
      </w:tblGrid>
      <w:tr>
        <w:trPr>
          <w:trHeight w:val="270" w:hRule="atLeast"/>
        </w:trPr>
        <w:tc>
          <w:tcPr>
            <w:tcW w:w="5632" w:type="dxa"/>
          </w:tcPr>
          <w:p>
            <w:pPr>
              <w:pStyle w:val="TableParagraph"/>
              <w:spacing w:line="251" w:lineRule="exact"/>
              <w:rPr>
                <w:sz w:val="24"/>
              </w:rPr>
            </w:pPr>
            <w:r>
              <w:rPr>
                <w:sz w:val="24"/>
              </w:rPr>
              <w:t>Federal STP Funds with 20% Contingency:</w:t>
            </w:r>
          </w:p>
        </w:tc>
        <w:tc>
          <w:tcPr>
            <w:tcW w:w="2328" w:type="dxa"/>
          </w:tcPr>
          <w:p>
            <w:pPr>
              <w:pStyle w:val="TableParagraph"/>
              <w:spacing w:line="251" w:lineRule="exact"/>
              <w:ind w:left="897"/>
              <w:rPr>
                <w:sz w:val="24"/>
              </w:rPr>
            </w:pPr>
            <w:r>
              <w:rPr>
                <w:sz w:val="24"/>
              </w:rPr>
              <w:t>$784,897.02</w:t>
            </w:r>
          </w:p>
        </w:tc>
      </w:tr>
      <w:tr>
        <w:trPr>
          <w:trHeight w:val="276" w:hRule="atLeast"/>
        </w:trPr>
        <w:tc>
          <w:tcPr>
            <w:tcW w:w="5632" w:type="dxa"/>
          </w:tcPr>
          <w:p>
            <w:pPr>
              <w:pStyle w:val="TableParagraph"/>
              <w:rPr>
                <w:sz w:val="24"/>
              </w:rPr>
            </w:pPr>
            <w:r>
              <w:rPr>
                <w:sz w:val="24"/>
              </w:rPr>
              <w:t>State TEDF Funds:</w:t>
            </w:r>
          </w:p>
        </w:tc>
        <w:tc>
          <w:tcPr>
            <w:tcW w:w="2328" w:type="dxa"/>
          </w:tcPr>
          <w:p>
            <w:pPr>
              <w:pStyle w:val="TableParagraph"/>
              <w:ind w:left="897"/>
              <w:rPr>
                <w:sz w:val="24"/>
              </w:rPr>
            </w:pPr>
            <w:r>
              <w:rPr>
                <w:sz w:val="24"/>
              </w:rPr>
              <w:t>$375,000.00</w:t>
            </w:r>
          </w:p>
        </w:tc>
      </w:tr>
      <w:tr>
        <w:trPr>
          <w:trHeight w:val="275" w:hRule="atLeast"/>
        </w:trPr>
        <w:tc>
          <w:tcPr>
            <w:tcW w:w="5632" w:type="dxa"/>
          </w:tcPr>
          <w:p>
            <w:pPr>
              <w:pStyle w:val="TableParagraph"/>
              <w:rPr>
                <w:sz w:val="24"/>
              </w:rPr>
            </w:pPr>
            <w:r>
              <w:rPr>
                <w:sz w:val="24"/>
              </w:rPr>
              <w:t>Michigan State University Contribution</w:t>
            </w:r>
          </w:p>
        </w:tc>
        <w:tc>
          <w:tcPr>
            <w:tcW w:w="2328" w:type="dxa"/>
          </w:tcPr>
          <w:p>
            <w:pPr>
              <w:pStyle w:val="TableParagraph"/>
              <w:ind w:left="897"/>
              <w:rPr>
                <w:sz w:val="24"/>
              </w:rPr>
            </w:pPr>
            <w:r>
              <w:rPr>
                <w:sz w:val="24"/>
              </w:rPr>
              <w:t>$236,870.63</w:t>
            </w:r>
          </w:p>
        </w:tc>
      </w:tr>
      <w:tr>
        <w:trPr>
          <w:trHeight w:val="275" w:hRule="atLeast"/>
        </w:trPr>
        <w:tc>
          <w:tcPr>
            <w:tcW w:w="5632" w:type="dxa"/>
          </w:tcPr>
          <w:p>
            <w:pPr>
              <w:pStyle w:val="TableParagraph"/>
              <w:rPr>
                <w:sz w:val="24"/>
              </w:rPr>
            </w:pPr>
            <w:r>
              <w:rPr>
                <w:sz w:val="24"/>
              </w:rPr>
              <w:t>Road Department Funds with 20% Contingency:</w:t>
            </w:r>
          </w:p>
        </w:tc>
        <w:tc>
          <w:tcPr>
            <w:tcW w:w="2328" w:type="dxa"/>
          </w:tcPr>
          <w:p>
            <w:pPr>
              <w:pStyle w:val="TableParagraph"/>
              <w:ind w:left="897"/>
              <w:rPr>
                <w:sz w:val="24"/>
              </w:rPr>
            </w:pPr>
            <w:r>
              <w:rPr>
                <w:sz w:val="24"/>
                <w:u w:val="single"/>
              </w:rPr>
              <w:t>$1,002,492.43</w:t>
            </w:r>
          </w:p>
        </w:tc>
      </w:tr>
      <w:tr>
        <w:trPr>
          <w:trHeight w:val="270" w:hRule="atLeast"/>
        </w:trPr>
        <w:tc>
          <w:tcPr>
            <w:tcW w:w="5632" w:type="dxa"/>
          </w:tcPr>
          <w:p>
            <w:pPr>
              <w:pStyle w:val="TableParagraph"/>
              <w:spacing w:line="251" w:lineRule="exact"/>
              <w:rPr>
                <w:sz w:val="24"/>
              </w:rPr>
            </w:pPr>
            <w:r>
              <w:rPr>
                <w:sz w:val="24"/>
              </w:rPr>
              <w:t>Total Estimated Project Cost (+20%):</w:t>
            </w:r>
          </w:p>
        </w:tc>
        <w:tc>
          <w:tcPr>
            <w:tcW w:w="2328" w:type="dxa"/>
          </w:tcPr>
          <w:p>
            <w:pPr>
              <w:pStyle w:val="TableParagraph"/>
              <w:spacing w:line="251" w:lineRule="exact"/>
              <w:ind w:left="897"/>
              <w:rPr>
                <w:sz w:val="24"/>
              </w:rPr>
            </w:pPr>
            <w:r>
              <w:rPr>
                <w:sz w:val="24"/>
              </w:rPr>
              <w:t>$2,399,260.08</w:t>
            </w:r>
          </w:p>
        </w:tc>
      </w:tr>
    </w:tbl>
    <w:p>
      <w:pPr>
        <w:spacing w:after="0" w:line="251" w:lineRule="exact"/>
        <w:rPr>
          <w:sz w:val="24"/>
        </w:rPr>
        <w:sectPr>
          <w:type w:val="continuous"/>
          <w:pgSz w:w="12240" w:h="15840"/>
          <w:pgMar w:top="1360" w:bottom="280" w:left="600" w:right="600"/>
        </w:sectPr>
      </w:pPr>
    </w:p>
    <w:p>
      <w:pPr>
        <w:pStyle w:val="BodyText"/>
        <w:spacing w:before="79"/>
        <w:ind w:left="120" w:right="323"/>
      </w:pPr>
      <w:r>
        <w:rPr/>
        <w:t>WHEREAS, the Road Department’s anticipated local participation costs have been included in the 2026 Road Fund budget; and</w:t>
      </w:r>
    </w:p>
    <w:p>
      <w:pPr>
        <w:pStyle w:val="BodyText"/>
      </w:pPr>
    </w:p>
    <w:p>
      <w:pPr>
        <w:pStyle w:val="BodyText"/>
        <w:ind w:left="120" w:right="643"/>
      </w:pPr>
      <w:r>
        <w:rPr/>
        <w:t>WHEREAS, the construction project will be undertaken pursuant to an agreement between MDOT and the Contractor; and</w:t>
      </w:r>
    </w:p>
    <w:p>
      <w:pPr>
        <w:pStyle w:val="BodyText"/>
      </w:pPr>
    </w:p>
    <w:p>
      <w:pPr>
        <w:pStyle w:val="BodyText"/>
        <w:ind w:left="120" w:right="975"/>
      </w:pPr>
      <w:r>
        <w:rPr/>
        <w:t>WHEREAS, the County, on behalf of the Road Department, must enter into an associated second-party agreement with MDOT consistent with federal and state funding requirements.</w:t>
      </w:r>
    </w:p>
    <w:p>
      <w:pPr>
        <w:pStyle w:val="BodyText"/>
      </w:pPr>
    </w:p>
    <w:p>
      <w:pPr>
        <w:pStyle w:val="BodyText"/>
        <w:ind w:left="120" w:right="156"/>
      </w:pPr>
      <w:r>
        <w:rPr/>
        <w:t>THEREFORE BE IT RESOLVED, that the Ingham County Board of Commissioners authorizes entering into Contract #26-5406 with the Michigan Department of Transportation for the rehabilitation of College Road from Jolly Road to Forest Road, Forest Road from College Road to Farm Lane, and Farm Lane from Forest Road to Mt Hope Road for a total estimated project cost of $1,999,383.40, consisting of $784,897.02 in federal Surface Transportation Program funding, $375,000 in State TEDF Funds, $236,870.63 in Michigan State Funding and</w:t>
      </w:r>
    </w:p>
    <w:p>
      <w:pPr>
        <w:pStyle w:val="BodyText"/>
        <w:ind w:left="120"/>
      </w:pPr>
      <w:r>
        <w:rPr/>
        <w:t>$602,615.75 in Road Department funds.</w:t>
      </w:r>
    </w:p>
    <w:p>
      <w:pPr>
        <w:pStyle w:val="BodyText"/>
      </w:pPr>
    </w:p>
    <w:p>
      <w:pPr>
        <w:pStyle w:val="BodyText"/>
        <w:ind w:left="120" w:right="255"/>
      </w:pPr>
      <w:r>
        <w:rPr/>
        <w:t>BE IT FURTHER RESOLVED, that the project shall include a contingency in the amount of 20% of the estimated project costs, equating to a total budgeted project cost of $2,399,260.08 consisting of $784,897.02 in Federal Surface Transportation Program funding, $375,000 in State TEDF funding, $236,870.63 in Michigan State University funding, and $1,002,492.43 in Road Department funds.</w:t>
      </w:r>
    </w:p>
    <w:p>
      <w:pPr>
        <w:pStyle w:val="BodyText"/>
      </w:pPr>
    </w:p>
    <w:p>
      <w:pPr>
        <w:pStyle w:val="BodyText"/>
        <w:ind w:left="120"/>
      </w:pPr>
      <w:r>
        <w:rPr/>
        <w:t>BE IT FURTHER RESOLVED, authorizing the Controller/Administrator to make the necessary budget adjustments.</w:t>
      </w:r>
    </w:p>
    <w:p>
      <w:pPr>
        <w:pStyle w:val="BodyText"/>
      </w:pPr>
    </w:p>
    <w:p>
      <w:pPr>
        <w:pStyle w:val="BodyText"/>
        <w:ind w:left="120" w:right="369"/>
      </w:pPr>
      <w:r>
        <w:rPr/>
        <w:t>BE IT FURTHER RESOLVED, that the Ingham County Board of Commissioners authorizes the Board Chairperson to sign any necessary agreements that are consistent with this resolution and approved as to form by the County Attorney.</w:t>
      </w:r>
    </w:p>
    <w:p>
      <w:pPr>
        <w:pStyle w:val="BodyText"/>
      </w:pPr>
    </w:p>
    <w:p>
      <w:pPr>
        <w:spacing w:before="0"/>
        <w:ind w:left="120"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1"/>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p>
      <w:pPr>
        <w:pStyle w:val="BodyText"/>
        <w:spacing w:before="6"/>
        <w:rPr>
          <w:b/>
          <w:sz w:val="27"/>
        </w:rPr>
      </w:pPr>
    </w:p>
    <w:p>
      <w:pPr>
        <w:spacing w:before="0"/>
        <w:ind w:left="120"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328"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spacing w:line="256" w:lineRule="exact"/>
      <w:ind w:left="50"/>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2026-10-14T17:21:32Z</dcterms:created>
  <dcterms:modified xsi:type="dcterms:W3CDTF">2026-10-14T17:21:32Z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